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7861" w14:textId="77777777" w:rsidR="00510B69" w:rsidRDefault="00510B69" w:rsidP="00510B69">
      <w:pPr>
        <w:spacing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比赛规则</w:t>
      </w:r>
    </w:p>
    <w:p w14:paraId="7F01E7D1" w14:textId="77777777" w:rsidR="00510B69" w:rsidRPr="00C12116" w:rsidRDefault="00510B69" w:rsidP="00510B69">
      <w:pPr>
        <w:spacing w:line="360" w:lineRule="auto"/>
        <w:ind w:firstLineChars="200" w:firstLine="420"/>
        <w:rPr>
          <w:rFonts w:ascii="宋体" w:eastAsia="宋体" w:hAnsi="宋体"/>
        </w:rPr>
      </w:pPr>
      <w:r>
        <w:rPr>
          <w:rFonts w:ascii="宋体" w:eastAsia="宋体" w:hAnsi="宋体" w:hint="eastAsia"/>
        </w:rPr>
        <w:t>1.</w:t>
      </w:r>
      <w:r w:rsidRPr="00C12116">
        <w:rPr>
          <w:rFonts w:ascii="宋体" w:eastAsia="宋体" w:hAnsi="宋体"/>
        </w:rPr>
        <w:t>大赛报名现已开启，各位参赛者可根据黑龙江省高等学校图书情报工作委员会发布的报名通知进行报名，报名截止日期5月24日。</w:t>
      </w:r>
    </w:p>
    <w:p w14:paraId="0727412E" w14:textId="77777777" w:rsidR="00510B69" w:rsidRPr="00C12116" w:rsidRDefault="00510B69" w:rsidP="00510B69">
      <w:pPr>
        <w:spacing w:line="360" w:lineRule="auto"/>
        <w:ind w:firstLineChars="200" w:firstLine="420"/>
        <w:rPr>
          <w:rFonts w:ascii="宋体" w:eastAsia="宋体" w:hAnsi="宋体"/>
        </w:rPr>
      </w:pPr>
      <w:r>
        <w:rPr>
          <w:rFonts w:ascii="宋体" w:eastAsia="宋体" w:hAnsi="宋体" w:hint="eastAsia"/>
        </w:rPr>
        <w:t>2.</w:t>
      </w:r>
      <w:r w:rsidRPr="00C12116">
        <w:rPr>
          <w:rFonts w:ascii="宋体" w:eastAsia="宋体" w:hAnsi="宋体"/>
        </w:rPr>
        <w:t>初赛课程学习将于5月27日开启，届时将由黑龙江省知识产权局、智慧芽等提供在线学习课程</w:t>
      </w:r>
      <w:r w:rsidRPr="00C12116">
        <w:rPr>
          <w:rFonts w:ascii="宋体" w:eastAsia="宋体" w:hAnsi="宋体" w:hint="eastAsia"/>
          <w:lang w:eastAsia="zh"/>
        </w:rPr>
        <w:t>（</w:t>
      </w:r>
      <w:r w:rsidRPr="00C12116">
        <w:rPr>
          <w:rFonts w:ascii="宋体" w:eastAsia="宋体" w:hAnsi="宋体"/>
        </w:rPr>
        <w:t>课程为非必需学习内容，不影响</w:t>
      </w:r>
      <w:r>
        <w:rPr>
          <w:rFonts w:ascii="宋体" w:eastAsia="宋体" w:hAnsi="宋体" w:hint="eastAsia"/>
        </w:rPr>
        <w:t>参赛</w:t>
      </w:r>
      <w:r w:rsidRPr="00C12116">
        <w:rPr>
          <w:rFonts w:ascii="宋体" w:eastAsia="宋体" w:hAnsi="宋体"/>
        </w:rPr>
        <w:t>资格</w:t>
      </w:r>
      <w:r w:rsidRPr="00C12116">
        <w:rPr>
          <w:rFonts w:ascii="宋体" w:eastAsia="宋体" w:hAnsi="宋体" w:hint="eastAsia"/>
          <w:lang w:eastAsia="zh"/>
        </w:rPr>
        <w:t>）</w:t>
      </w:r>
      <w:r w:rsidRPr="00C12116">
        <w:rPr>
          <w:rFonts w:ascii="宋体" w:eastAsia="宋体" w:hAnsi="宋体"/>
        </w:rPr>
        <w:t>，包括但不限于以下内容：</w:t>
      </w:r>
    </w:p>
    <w:p w14:paraId="07FC25C1" w14:textId="77777777" w:rsidR="00510B69" w:rsidRDefault="00510B69" w:rsidP="00510B69">
      <w:pPr>
        <w:pStyle w:val="a3"/>
        <w:shd w:val="clear" w:color="auto" w:fill="FFFFFF"/>
        <w:spacing w:before="0" w:beforeAutospacing="0" w:after="0" w:afterAutospacing="0" w:line="360" w:lineRule="auto"/>
        <w:ind w:firstLineChars="200" w:firstLine="420"/>
        <w:rPr>
          <w:rFonts w:ascii="Times New Roman" w:hAnsi="Times New Roman" w:cs="Times New Roman"/>
          <w:color w:val="000000" w:themeColor="text1"/>
          <w:kern w:val="2"/>
          <w:sz w:val="21"/>
          <w:szCs w:val="21"/>
          <w14:ligatures w14:val="standardContextual"/>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）知识产权基础知识培训</w:t>
      </w:r>
    </w:p>
    <w:p w14:paraId="6F411EBF" w14:textId="77777777" w:rsidR="00510B69" w:rsidRPr="00C32652" w:rsidRDefault="00510B69" w:rsidP="00510B69">
      <w:pPr>
        <w:spacing w:line="360" w:lineRule="auto"/>
        <w:ind w:leftChars="200" w:left="420"/>
        <w:rPr>
          <w:rFonts w:ascii="宋体" w:eastAsia="宋体" w:hAnsi="宋体"/>
        </w:rPr>
      </w:pPr>
      <w:r w:rsidRPr="00C32652">
        <w:rPr>
          <w:rStyle w:val="a4"/>
          <w:rFonts w:ascii="宋体" w:eastAsia="宋体" w:hAnsi="宋体" w:cs="Times New Roman"/>
          <w:color w:val="000000" w:themeColor="text1"/>
          <w:szCs w:val="21"/>
        </w:rPr>
        <w:t>《知识产权的类型及各类型定义》</w:t>
      </w:r>
    </w:p>
    <w:p w14:paraId="30458A16"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分别对知识产权的类型（专利、商标、著作权、集成电路布图设计、商业秘密）进行概要性的介绍，同时引用了相关的案例对知识内容进行深入浅出地介绍，</w:t>
      </w:r>
      <w:proofErr w:type="gramStart"/>
      <w:r>
        <w:rPr>
          <w:rFonts w:ascii="Times New Roman" w:hAnsi="Times New Roman" w:cs="Times New Roman"/>
          <w:color w:val="000000" w:themeColor="text1"/>
          <w:sz w:val="21"/>
          <w:szCs w:val="21"/>
        </w:rPr>
        <w:t>有助于知产新人</w:t>
      </w:r>
      <w:proofErr w:type="gramEnd"/>
      <w:r>
        <w:rPr>
          <w:rFonts w:ascii="Times New Roman" w:hAnsi="Times New Roman" w:cs="Times New Roman"/>
          <w:color w:val="000000" w:themeColor="text1"/>
          <w:sz w:val="21"/>
          <w:szCs w:val="21"/>
        </w:rPr>
        <w:t>或者在校学生对知识产权基础知识的学习。</w:t>
      </w:r>
    </w:p>
    <w:p w14:paraId="76CF3BD7" w14:textId="77777777" w:rsidR="00510B69" w:rsidRPr="00C32652" w:rsidRDefault="00510B69" w:rsidP="00510B69">
      <w:pPr>
        <w:spacing w:line="360" w:lineRule="auto"/>
        <w:ind w:leftChars="200" w:left="420"/>
        <w:rPr>
          <w:rStyle w:val="a4"/>
          <w:rFonts w:ascii="宋体" w:eastAsia="宋体" w:hAnsi="宋体"/>
        </w:rPr>
      </w:pPr>
      <w:r w:rsidRPr="00C32652">
        <w:rPr>
          <w:rStyle w:val="a4"/>
          <w:rFonts w:ascii="宋体" w:eastAsia="宋体" w:hAnsi="宋体" w:cs="Times New Roman"/>
          <w:color w:val="000000" w:themeColor="text1"/>
          <w:szCs w:val="21"/>
        </w:rPr>
        <w:t>《知识产权对创新研发的价值》</w:t>
      </w:r>
    </w:p>
    <w:p w14:paraId="07379CBF"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什么是专利？专利对企业有何作用？本课程介绍专利与企业的关系，通过多个案例的讲解，初步了解专利对于企业的价值和专利的真实面目，了解专利的特性和作用，为后续的学习打下良好的基础。</w:t>
      </w:r>
    </w:p>
    <w:p w14:paraId="7B8505C1" w14:textId="77777777" w:rsidR="00510B69" w:rsidRPr="00C32652" w:rsidRDefault="00510B69" w:rsidP="00510B69">
      <w:pPr>
        <w:spacing w:line="360" w:lineRule="auto"/>
        <w:ind w:leftChars="200" w:left="420"/>
        <w:rPr>
          <w:rStyle w:val="a4"/>
          <w:rFonts w:ascii="宋体" w:eastAsia="宋体" w:hAnsi="宋体"/>
        </w:rPr>
      </w:pPr>
      <w:r w:rsidRPr="00C32652">
        <w:rPr>
          <w:rStyle w:val="a4"/>
          <w:rFonts w:ascii="宋体" w:eastAsia="宋体" w:hAnsi="宋体" w:cs="Times New Roman"/>
          <w:color w:val="000000" w:themeColor="text1"/>
          <w:szCs w:val="21"/>
        </w:rPr>
        <w:t>《专利申请的基本流程和文献初识》</w:t>
      </w:r>
    </w:p>
    <w:p w14:paraId="393AAA0F"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通过本节课程了解研发进行到什么阶段开展专利申请，论文和专利是否有先后顺序，没研发项目是否需要申请专利等问题。</w:t>
      </w:r>
    </w:p>
    <w:p w14:paraId="1A9ADF7D" w14:textId="77777777" w:rsidR="00510B69" w:rsidRPr="00C32652" w:rsidRDefault="00510B69" w:rsidP="00510B69">
      <w:pPr>
        <w:spacing w:line="360" w:lineRule="auto"/>
        <w:ind w:leftChars="200" w:left="420"/>
        <w:rPr>
          <w:rStyle w:val="a4"/>
          <w:rFonts w:ascii="宋体" w:eastAsia="宋体" w:hAnsi="宋体"/>
        </w:rPr>
      </w:pPr>
      <w:r w:rsidRPr="00C32652">
        <w:rPr>
          <w:rStyle w:val="a4"/>
          <w:rFonts w:ascii="宋体" w:eastAsia="宋体" w:hAnsi="宋体" w:cs="Times New Roman"/>
          <w:color w:val="000000" w:themeColor="text1"/>
          <w:szCs w:val="21"/>
        </w:rPr>
        <w:t>《可专利性、新颖性、创造性和实用性》</w:t>
      </w:r>
    </w:p>
    <w:p w14:paraId="427C7050"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根据专利法第二十二条第一款的规定，授予专利权的发明和实用新型应当具有新颖性、创造性和实用性。</w:t>
      </w:r>
    </w:p>
    <w:p w14:paraId="3AED85DA" w14:textId="77777777" w:rsidR="00510B69" w:rsidRPr="00C32652" w:rsidRDefault="00510B69" w:rsidP="00510B69">
      <w:pPr>
        <w:spacing w:line="360" w:lineRule="auto"/>
        <w:ind w:leftChars="200" w:left="420"/>
        <w:rPr>
          <w:rStyle w:val="a4"/>
          <w:rFonts w:ascii="宋体" w:eastAsia="宋体" w:hAnsi="宋体"/>
        </w:rPr>
      </w:pPr>
      <w:r w:rsidRPr="00C32652">
        <w:rPr>
          <w:rStyle w:val="a4"/>
          <w:rFonts w:ascii="宋体" w:eastAsia="宋体" w:hAnsi="宋体" w:cs="Times New Roman"/>
          <w:color w:val="000000" w:themeColor="text1"/>
          <w:szCs w:val="21"/>
        </w:rPr>
        <w:t>《机械类专利示例》</w:t>
      </w:r>
    </w:p>
    <w:p w14:paraId="4534DF66"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通过课程学习，对</w:t>
      </w:r>
      <w:r>
        <w:rPr>
          <w:rFonts w:ascii="Times New Roman" w:hAnsi="Times New Roman" w:cs="Times New Roman"/>
          <w:color w:val="000000" w:themeColor="text1"/>
          <w:sz w:val="21"/>
          <w:szCs w:val="21"/>
        </w:rPr>
        <w:t>Dyson</w:t>
      </w:r>
      <w:r>
        <w:rPr>
          <w:rFonts w:ascii="Times New Roman" w:hAnsi="Times New Roman" w:cs="Times New Roman"/>
          <w:color w:val="000000" w:themeColor="text1"/>
          <w:sz w:val="21"/>
          <w:szCs w:val="21"/>
        </w:rPr>
        <w:t>公司吸尘器的专利布局有一定的了解，获得企业研发专利工作启示。</w:t>
      </w:r>
    </w:p>
    <w:p w14:paraId="186B38C7" w14:textId="77777777" w:rsidR="00510B69" w:rsidRPr="00C32652" w:rsidRDefault="00510B69" w:rsidP="00510B69">
      <w:pPr>
        <w:spacing w:line="360" w:lineRule="auto"/>
        <w:ind w:leftChars="200" w:left="420"/>
        <w:rPr>
          <w:rStyle w:val="a4"/>
          <w:rFonts w:ascii="宋体" w:eastAsia="宋体" w:hAnsi="宋体"/>
        </w:rPr>
      </w:pPr>
      <w:r w:rsidRPr="00C32652">
        <w:rPr>
          <w:rStyle w:val="a4"/>
          <w:rFonts w:ascii="宋体" w:eastAsia="宋体" w:hAnsi="宋体" w:cs="Times New Roman"/>
          <w:color w:val="000000" w:themeColor="text1"/>
          <w:szCs w:val="21"/>
        </w:rPr>
        <w:t>《版权基础知识概述》</w:t>
      </w:r>
    </w:p>
    <w:p w14:paraId="646DF345"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了解版权的基本概念及对企业的价值，学会如何应对企业经营过程中常见的版权问题。</w:t>
      </w:r>
    </w:p>
    <w:p w14:paraId="691A9B1F" w14:textId="77777777" w:rsidR="00510B69" w:rsidRPr="00C32652" w:rsidRDefault="00510B69" w:rsidP="00510B69">
      <w:pPr>
        <w:spacing w:line="360" w:lineRule="auto"/>
        <w:ind w:leftChars="200" w:left="420"/>
        <w:rPr>
          <w:rStyle w:val="a4"/>
          <w:rFonts w:ascii="宋体" w:eastAsia="宋体" w:hAnsi="宋体"/>
        </w:rPr>
      </w:pPr>
      <w:r w:rsidRPr="00C32652">
        <w:rPr>
          <w:rStyle w:val="a4"/>
          <w:rFonts w:ascii="宋体" w:eastAsia="宋体" w:hAnsi="宋体" w:cs="Times New Roman"/>
          <w:color w:val="000000" w:themeColor="text1"/>
          <w:szCs w:val="21"/>
        </w:rPr>
        <w:t>《商标基础知识概述》</w:t>
      </w:r>
    </w:p>
    <w:p w14:paraId="3CBDD42C" w14:textId="77777777" w:rsidR="00510B69" w:rsidRDefault="00510B69" w:rsidP="00510B69">
      <w:pPr>
        <w:pStyle w:val="a3"/>
        <w:shd w:val="clear" w:color="auto" w:fill="FFFFFF"/>
        <w:spacing w:before="0" w:beforeAutospacing="0" w:after="0" w:afterAutospacing="0" w:line="360" w:lineRule="auto"/>
        <w:ind w:leftChars="200" w:left="420"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了解商标和品牌的关系以及商标对企业的重要价值，掌握处理企业经营过程中常见的商标问题的处理方式。</w:t>
      </w:r>
    </w:p>
    <w:p w14:paraId="598162A4" w14:textId="77777777" w:rsidR="00510B69" w:rsidRDefault="00510B69" w:rsidP="00510B69">
      <w:pPr>
        <w:pStyle w:val="a3"/>
        <w:shd w:val="clear" w:color="auto" w:fill="FFFFFF"/>
        <w:spacing w:before="0" w:beforeAutospacing="0" w:after="0" w:afterAutospacing="0" w:line="360" w:lineRule="auto"/>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）专利检索及分析工具培训（专利检索及分析平台）：</w:t>
      </w:r>
    </w:p>
    <w:tbl>
      <w:tblPr>
        <w:tblW w:w="8222" w:type="dxa"/>
        <w:jc w:val="center"/>
        <w:tblLook w:val="04A0" w:firstRow="1" w:lastRow="0" w:firstColumn="1" w:lastColumn="0" w:noHBand="0" w:noVBand="1"/>
      </w:tblPr>
      <w:tblGrid>
        <w:gridCol w:w="3062"/>
        <w:gridCol w:w="2419"/>
        <w:gridCol w:w="2741"/>
      </w:tblGrid>
      <w:tr w:rsidR="00510B69" w14:paraId="14760680"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l2br w:val="nil"/>
            </w:tcBorders>
            <w:shd w:val="clear" w:color="auto" w:fill="F2A984"/>
            <w:noWrap/>
            <w:vAlign w:val="center"/>
          </w:tcPr>
          <w:p w14:paraId="53B2126E" w14:textId="77777777" w:rsidR="00510B69" w:rsidRDefault="00510B69" w:rsidP="0032518B">
            <w:pPr>
              <w:widowControl/>
              <w:spacing w:line="400" w:lineRule="exact"/>
              <w:jc w:val="center"/>
              <w:rPr>
                <w:rFonts w:ascii="Times New Roman" w:eastAsia="宋体" w:hAnsi="Times New Roman" w:cs="Times New Roman"/>
                <w:b/>
                <w:color w:val="000000" w:themeColor="text1"/>
                <w:kern w:val="0"/>
                <w:szCs w:val="21"/>
                <w14:ligatures w14:val="none"/>
              </w:rPr>
            </w:pPr>
            <w:r>
              <w:rPr>
                <w:rFonts w:ascii="Times New Roman" w:eastAsia="宋体" w:hAnsi="Times New Roman" w:cs="Times New Roman"/>
                <w:b/>
                <w:color w:val="000000" w:themeColor="text1"/>
                <w:kern w:val="0"/>
                <w:szCs w:val="21"/>
                <w14:ligatures w14:val="none"/>
              </w:rPr>
              <w:lastRenderedPageBreak/>
              <w:t>第一章</w:t>
            </w:r>
          </w:p>
        </w:tc>
        <w:tc>
          <w:tcPr>
            <w:tcW w:w="0" w:type="auto"/>
            <w:tcBorders>
              <w:top w:val="single" w:sz="4" w:space="0" w:color="FBE5D6"/>
              <w:left w:val="single" w:sz="4" w:space="0" w:color="FBE5D6"/>
              <w:bottom w:val="single" w:sz="4" w:space="0" w:color="FBE5D6"/>
              <w:right w:val="single" w:sz="4" w:space="0" w:color="FBE5D6"/>
            </w:tcBorders>
            <w:shd w:val="clear" w:color="auto" w:fill="F2A984"/>
            <w:noWrap/>
            <w:vAlign w:val="center"/>
          </w:tcPr>
          <w:p w14:paraId="7179F288" w14:textId="77777777" w:rsidR="00510B69" w:rsidRDefault="00510B69" w:rsidP="0032518B">
            <w:pPr>
              <w:widowControl/>
              <w:spacing w:line="400" w:lineRule="exact"/>
              <w:jc w:val="center"/>
              <w:rPr>
                <w:rFonts w:ascii="Times New Roman" w:eastAsia="宋体" w:hAnsi="Times New Roman" w:cs="Times New Roman"/>
                <w:b/>
                <w:color w:val="000000" w:themeColor="text1"/>
                <w:kern w:val="0"/>
                <w:szCs w:val="21"/>
                <w14:ligatures w14:val="none"/>
              </w:rPr>
            </w:pPr>
            <w:r>
              <w:rPr>
                <w:rFonts w:ascii="Times New Roman" w:eastAsia="宋体" w:hAnsi="Times New Roman" w:cs="Times New Roman"/>
                <w:b/>
                <w:color w:val="000000" w:themeColor="text1"/>
                <w:kern w:val="0"/>
                <w:szCs w:val="21"/>
                <w14:ligatures w14:val="none"/>
              </w:rPr>
              <w:t>第二章</w:t>
            </w:r>
          </w:p>
        </w:tc>
        <w:tc>
          <w:tcPr>
            <w:tcW w:w="0" w:type="auto"/>
            <w:tcBorders>
              <w:top w:val="single" w:sz="4" w:space="0" w:color="FBE5D6"/>
              <w:left w:val="single" w:sz="4" w:space="0" w:color="FBE5D6"/>
              <w:bottom w:val="single" w:sz="4" w:space="0" w:color="FBE5D6"/>
              <w:right w:val="single" w:sz="4" w:space="0" w:color="FBE5D6"/>
            </w:tcBorders>
            <w:shd w:val="clear" w:color="auto" w:fill="F2A984"/>
            <w:noWrap/>
            <w:vAlign w:val="center"/>
          </w:tcPr>
          <w:p w14:paraId="6E5A2CCF" w14:textId="77777777" w:rsidR="00510B69" w:rsidRDefault="00510B69" w:rsidP="0032518B">
            <w:pPr>
              <w:widowControl/>
              <w:spacing w:line="400" w:lineRule="exact"/>
              <w:jc w:val="center"/>
              <w:rPr>
                <w:rFonts w:ascii="Times New Roman" w:eastAsia="宋体" w:hAnsi="Times New Roman" w:cs="Times New Roman"/>
                <w:b/>
                <w:color w:val="000000" w:themeColor="text1"/>
                <w:kern w:val="0"/>
                <w:szCs w:val="21"/>
                <w14:ligatures w14:val="none"/>
              </w:rPr>
            </w:pPr>
            <w:r>
              <w:rPr>
                <w:rFonts w:ascii="Times New Roman" w:eastAsia="宋体" w:hAnsi="Times New Roman" w:cs="Times New Roman"/>
                <w:b/>
                <w:color w:val="000000" w:themeColor="text1"/>
                <w:kern w:val="0"/>
                <w:szCs w:val="21"/>
                <w14:ligatures w14:val="none"/>
              </w:rPr>
              <w:t>第三章</w:t>
            </w:r>
          </w:p>
        </w:tc>
      </w:tr>
      <w:tr w:rsidR="00510B69" w14:paraId="1DA16A16"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0EE41560"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1.1</w:t>
            </w:r>
            <w:r>
              <w:rPr>
                <w:rFonts w:ascii="Times New Roman" w:eastAsia="宋体" w:hAnsi="Times New Roman" w:cs="Times New Roman"/>
                <w:color w:val="000000" w:themeColor="text1"/>
                <w:kern w:val="0"/>
                <w:szCs w:val="21"/>
                <w14:ligatures w14:val="none"/>
              </w:rPr>
              <w:t>注册登录及帮助</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F14B22E"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2.1</w:t>
            </w:r>
            <w:r>
              <w:rPr>
                <w:rFonts w:ascii="Times New Roman" w:eastAsia="宋体" w:hAnsi="Times New Roman" w:cs="Times New Roman"/>
                <w:color w:val="000000" w:themeColor="text1"/>
                <w:kern w:val="0"/>
                <w:szCs w:val="21"/>
                <w14:ligatures w14:val="none"/>
              </w:rPr>
              <w:t>常规检索</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3804724B"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3.1</w:t>
            </w:r>
            <w:r>
              <w:rPr>
                <w:rFonts w:ascii="Times New Roman" w:eastAsia="宋体" w:hAnsi="Times New Roman" w:cs="Times New Roman"/>
                <w:color w:val="000000" w:themeColor="text1"/>
                <w:kern w:val="0"/>
                <w:szCs w:val="21"/>
                <w14:ligatures w14:val="none"/>
              </w:rPr>
              <w:t>分析文献库</w:t>
            </w:r>
          </w:p>
        </w:tc>
      </w:tr>
      <w:tr w:rsidR="00510B69" w14:paraId="16FC4561"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46F825E"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1.2</w:t>
            </w:r>
            <w:r>
              <w:rPr>
                <w:rFonts w:ascii="Times New Roman" w:eastAsia="宋体" w:hAnsi="Times New Roman" w:cs="Times New Roman"/>
                <w:color w:val="000000" w:themeColor="text1"/>
                <w:kern w:val="0"/>
                <w:szCs w:val="21"/>
                <w14:ligatures w14:val="none"/>
              </w:rPr>
              <w:t>热门工具</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4E928B6"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2.2</w:t>
            </w:r>
            <w:r>
              <w:rPr>
                <w:rFonts w:ascii="Times New Roman" w:eastAsia="宋体" w:hAnsi="Times New Roman" w:cs="Times New Roman"/>
                <w:color w:val="000000" w:themeColor="text1"/>
                <w:kern w:val="0"/>
                <w:szCs w:val="21"/>
                <w14:ligatures w14:val="none"/>
              </w:rPr>
              <w:t>高级检索</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0FCBC2C9"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3.2</w:t>
            </w:r>
            <w:r>
              <w:rPr>
                <w:rFonts w:ascii="Times New Roman" w:eastAsia="宋体" w:hAnsi="Times New Roman" w:cs="Times New Roman"/>
                <w:color w:val="000000" w:themeColor="text1"/>
                <w:kern w:val="0"/>
                <w:szCs w:val="21"/>
                <w14:ligatures w14:val="none"/>
              </w:rPr>
              <w:t>申请人分析</w:t>
            </w:r>
          </w:p>
        </w:tc>
      </w:tr>
      <w:tr w:rsidR="00510B69" w14:paraId="28C5EF54"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66FE6218"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1.3</w:t>
            </w:r>
            <w:r>
              <w:rPr>
                <w:rFonts w:ascii="Times New Roman" w:eastAsia="宋体" w:hAnsi="Times New Roman" w:cs="Times New Roman"/>
                <w:color w:val="000000" w:themeColor="text1"/>
                <w:kern w:val="0"/>
                <w:szCs w:val="21"/>
                <w14:ligatures w14:val="none"/>
              </w:rPr>
              <w:t>个人中心</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480613FA"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2.3</w:t>
            </w:r>
            <w:r>
              <w:rPr>
                <w:rFonts w:ascii="Times New Roman" w:eastAsia="宋体" w:hAnsi="Times New Roman" w:cs="Times New Roman"/>
                <w:color w:val="000000" w:themeColor="text1"/>
                <w:kern w:val="0"/>
                <w:szCs w:val="21"/>
                <w14:ligatures w14:val="none"/>
              </w:rPr>
              <w:t>药物检索</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2C392ED2"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3.3</w:t>
            </w:r>
            <w:r>
              <w:rPr>
                <w:rFonts w:ascii="Times New Roman" w:eastAsia="宋体" w:hAnsi="Times New Roman" w:cs="Times New Roman"/>
                <w:color w:val="000000" w:themeColor="text1"/>
                <w:kern w:val="0"/>
                <w:szCs w:val="21"/>
                <w14:ligatures w14:val="none"/>
              </w:rPr>
              <w:t>发明人分析</w:t>
            </w:r>
          </w:p>
        </w:tc>
      </w:tr>
      <w:tr w:rsidR="00510B69" w14:paraId="31EFC181"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4C7B3677"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2DE561FA"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2.4</w:t>
            </w:r>
            <w:r>
              <w:rPr>
                <w:rFonts w:ascii="Times New Roman" w:eastAsia="宋体" w:hAnsi="Times New Roman" w:cs="Times New Roman"/>
                <w:color w:val="000000" w:themeColor="text1"/>
                <w:kern w:val="0"/>
                <w:szCs w:val="21"/>
                <w14:ligatures w14:val="none"/>
              </w:rPr>
              <w:t>导航检索</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3EC7921"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3.4</w:t>
            </w:r>
            <w:r>
              <w:rPr>
                <w:rFonts w:ascii="Times New Roman" w:eastAsia="宋体" w:hAnsi="Times New Roman" w:cs="Times New Roman"/>
                <w:color w:val="000000" w:themeColor="text1"/>
                <w:kern w:val="0"/>
                <w:szCs w:val="21"/>
                <w14:ligatures w14:val="none"/>
              </w:rPr>
              <w:t>区域分析</w:t>
            </w:r>
          </w:p>
        </w:tc>
      </w:tr>
      <w:tr w:rsidR="00510B69" w14:paraId="7BCD9A2B"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5DF3586"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6F153057"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2.5</w:t>
            </w:r>
            <w:r>
              <w:rPr>
                <w:rFonts w:ascii="Times New Roman" w:eastAsia="宋体" w:hAnsi="Times New Roman" w:cs="Times New Roman"/>
                <w:color w:val="000000" w:themeColor="text1"/>
                <w:kern w:val="0"/>
                <w:szCs w:val="21"/>
                <w14:ligatures w14:val="none"/>
              </w:rPr>
              <w:t>命令行检索</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1AEC7191"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3.5</w:t>
            </w:r>
            <w:r>
              <w:rPr>
                <w:rFonts w:ascii="Times New Roman" w:eastAsia="宋体" w:hAnsi="Times New Roman" w:cs="Times New Roman"/>
                <w:color w:val="000000" w:themeColor="text1"/>
                <w:kern w:val="0"/>
                <w:szCs w:val="21"/>
                <w14:ligatures w14:val="none"/>
              </w:rPr>
              <w:t>技术领域分析</w:t>
            </w:r>
          </w:p>
        </w:tc>
      </w:tr>
      <w:tr w:rsidR="00510B69" w14:paraId="381ED54D"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19A0634D"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390E483B"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2.6</w:t>
            </w:r>
            <w:r>
              <w:rPr>
                <w:rFonts w:ascii="Times New Roman" w:eastAsia="宋体" w:hAnsi="Times New Roman" w:cs="Times New Roman"/>
                <w:color w:val="000000" w:themeColor="text1"/>
                <w:kern w:val="0"/>
                <w:szCs w:val="21"/>
                <w14:ligatures w14:val="none"/>
              </w:rPr>
              <w:t>概要浏览</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73F5CF4E"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3.6</w:t>
            </w:r>
            <w:r>
              <w:rPr>
                <w:rFonts w:ascii="Times New Roman" w:eastAsia="宋体" w:hAnsi="Times New Roman" w:cs="Times New Roman"/>
                <w:color w:val="000000" w:themeColor="text1"/>
                <w:kern w:val="0"/>
                <w:szCs w:val="21"/>
                <w14:ligatures w14:val="none"/>
              </w:rPr>
              <w:t>中国专项分析</w:t>
            </w:r>
          </w:p>
        </w:tc>
      </w:tr>
      <w:tr w:rsidR="00510B69" w14:paraId="1D451075"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11E9CF74"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1C85EDF"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2.7</w:t>
            </w:r>
            <w:r>
              <w:rPr>
                <w:rFonts w:ascii="Times New Roman" w:eastAsia="宋体" w:hAnsi="Times New Roman" w:cs="Times New Roman"/>
                <w:color w:val="000000" w:themeColor="text1"/>
                <w:kern w:val="0"/>
                <w:szCs w:val="21"/>
                <w14:ligatures w14:val="none"/>
              </w:rPr>
              <w:t>详细浏览</w:t>
            </w: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0EEC60AA"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3.7</w:t>
            </w:r>
            <w:r>
              <w:rPr>
                <w:rFonts w:ascii="Times New Roman" w:eastAsia="宋体" w:hAnsi="Times New Roman" w:cs="Times New Roman"/>
                <w:color w:val="000000" w:themeColor="text1"/>
                <w:kern w:val="0"/>
                <w:szCs w:val="21"/>
                <w14:ligatures w14:val="none"/>
              </w:rPr>
              <w:t>高级分析</w:t>
            </w:r>
          </w:p>
        </w:tc>
      </w:tr>
      <w:tr w:rsidR="00510B69" w14:paraId="508B6D8C" w14:textId="77777777" w:rsidTr="0032518B">
        <w:trPr>
          <w:trHeight w:val="317"/>
          <w:jc w:val="center"/>
        </w:trPr>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7D9522E7"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5D690648"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p>
        </w:tc>
        <w:tc>
          <w:tcPr>
            <w:tcW w:w="0" w:type="auto"/>
            <w:tcBorders>
              <w:top w:val="single" w:sz="4" w:space="0" w:color="FBE5D6"/>
              <w:left w:val="single" w:sz="4" w:space="0" w:color="FBE5D6"/>
              <w:bottom w:val="single" w:sz="4" w:space="0" w:color="FBE5D6"/>
              <w:right w:val="single" w:sz="4" w:space="0" w:color="FBE5D6"/>
            </w:tcBorders>
            <w:shd w:val="clear" w:color="auto" w:fill="FFFFFF"/>
            <w:noWrap/>
            <w:vAlign w:val="center"/>
          </w:tcPr>
          <w:p w14:paraId="2122D67E" w14:textId="77777777" w:rsidR="00510B69" w:rsidRDefault="00510B69" w:rsidP="0032518B">
            <w:pPr>
              <w:widowControl/>
              <w:spacing w:line="400" w:lineRule="exact"/>
              <w:jc w:val="center"/>
              <w:rPr>
                <w:rFonts w:ascii="Times New Roman" w:eastAsia="宋体" w:hAnsi="Times New Roman" w:cs="Times New Roman"/>
                <w:color w:val="000000" w:themeColor="text1"/>
                <w:kern w:val="0"/>
                <w:szCs w:val="21"/>
                <w14:ligatures w14:val="none"/>
              </w:rPr>
            </w:pPr>
            <w:r>
              <w:rPr>
                <w:rFonts w:ascii="Times New Roman" w:eastAsia="宋体" w:hAnsi="Times New Roman" w:cs="Times New Roman"/>
                <w:color w:val="000000" w:themeColor="text1"/>
                <w:kern w:val="0"/>
                <w:szCs w:val="21"/>
                <w14:ligatures w14:val="none"/>
              </w:rPr>
              <w:t>3.8</w:t>
            </w:r>
            <w:r>
              <w:rPr>
                <w:rFonts w:ascii="Times New Roman" w:eastAsia="宋体" w:hAnsi="Times New Roman" w:cs="Times New Roman"/>
                <w:color w:val="000000" w:themeColor="text1"/>
                <w:kern w:val="0"/>
                <w:szCs w:val="21"/>
                <w14:ligatures w14:val="none"/>
              </w:rPr>
              <w:t>日志报告</w:t>
            </w:r>
          </w:p>
        </w:tc>
      </w:tr>
    </w:tbl>
    <w:p w14:paraId="0FF68288" w14:textId="77777777" w:rsidR="00510B69" w:rsidRDefault="00510B69" w:rsidP="00510B69">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rPr>
        <w:t>初赛答题为线上答题，初赛成绩在</w:t>
      </w:r>
      <w:r>
        <w:rPr>
          <w:rFonts w:ascii="Times New Roman" w:eastAsia="宋体" w:hAnsi="Times New Roman" w:cs="Times New Roman"/>
        </w:rPr>
        <w:t>60</w:t>
      </w:r>
      <w:r>
        <w:rPr>
          <w:rFonts w:ascii="Times New Roman" w:eastAsia="宋体" w:hAnsi="Times New Roman" w:cs="Times New Roman"/>
        </w:rPr>
        <w:t>分以上（含</w:t>
      </w:r>
      <w:r>
        <w:rPr>
          <w:rFonts w:ascii="Times New Roman" w:eastAsia="宋体" w:hAnsi="Times New Roman" w:cs="Times New Roman"/>
        </w:rPr>
        <w:t>60</w:t>
      </w:r>
      <w:r>
        <w:rPr>
          <w:rFonts w:ascii="Times New Roman" w:eastAsia="宋体" w:hAnsi="Times New Roman" w:cs="Times New Roman"/>
        </w:rPr>
        <w:t>分）即可进入复赛。每位参赛者有两次答题机会，</w:t>
      </w:r>
      <w:r>
        <w:rPr>
          <w:rFonts w:ascii="宋体" w:eastAsia="宋体" w:hAnsi="宋体" w:hint="eastAsia"/>
        </w:rPr>
        <w:t>答题时不可退出，单次答题</w:t>
      </w:r>
      <w:proofErr w:type="gramStart"/>
      <w:r>
        <w:rPr>
          <w:rFonts w:ascii="宋体" w:eastAsia="宋体" w:hAnsi="宋体" w:hint="eastAsia"/>
        </w:rPr>
        <w:t>不</w:t>
      </w:r>
      <w:proofErr w:type="gramEnd"/>
      <w:r>
        <w:rPr>
          <w:rFonts w:ascii="宋体" w:eastAsia="宋体" w:hAnsi="宋体" w:hint="eastAsia"/>
        </w:rPr>
        <w:t>限时间，</w:t>
      </w:r>
      <w:r>
        <w:rPr>
          <w:rFonts w:ascii="Times New Roman" w:eastAsia="宋体" w:hAnsi="Times New Roman" w:cs="Times New Roman"/>
        </w:rPr>
        <w:t>取两次成绩的最高成绩决定是否进入复赛。初赛试题的类型为选择题，题目内容包括知识产权基础知识的考核，及国家知识产权局专利检索分析工具的实操考核。</w:t>
      </w:r>
    </w:p>
    <w:p w14:paraId="7EFA59BE" w14:textId="77777777" w:rsidR="00510B69" w:rsidRPr="00C12116" w:rsidRDefault="00510B69" w:rsidP="00510B69">
      <w:pPr>
        <w:spacing w:line="360" w:lineRule="auto"/>
        <w:ind w:firstLineChars="200" w:firstLine="420"/>
        <w:rPr>
          <w:rFonts w:ascii="宋体" w:eastAsia="宋体" w:hAnsi="宋体"/>
        </w:rPr>
      </w:pPr>
      <w:r>
        <w:rPr>
          <w:rFonts w:ascii="宋体" w:eastAsia="宋体" w:hAnsi="宋体" w:hint="eastAsia"/>
        </w:rPr>
        <w:t>4.</w:t>
      </w:r>
      <w:r w:rsidRPr="00C12116">
        <w:rPr>
          <w:rFonts w:ascii="宋体" w:eastAsia="宋体" w:hAnsi="宋体"/>
        </w:rPr>
        <w:t>进入复赛后会进行专利检索分析实务培训</w:t>
      </w:r>
      <w:r w:rsidRPr="00C12116">
        <w:rPr>
          <w:rFonts w:ascii="宋体" w:eastAsia="宋体" w:hAnsi="宋体" w:hint="eastAsia"/>
          <w:lang w:eastAsia="zh"/>
        </w:rPr>
        <w:t>，</w:t>
      </w:r>
      <w:r w:rsidRPr="00C12116">
        <w:rPr>
          <w:rFonts w:ascii="宋体" w:eastAsia="宋体" w:hAnsi="宋体"/>
        </w:rPr>
        <w:t>届时将会给进入复赛的同学进行定点推送。</w:t>
      </w:r>
    </w:p>
    <w:p w14:paraId="6551D305" w14:textId="77777777" w:rsidR="00510B69" w:rsidRPr="00C12116" w:rsidRDefault="00510B69" w:rsidP="00510B69">
      <w:pPr>
        <w:spacing w:line="360" w:lineRule="auto"/>
        <w:ind w:firstLineChars="200" w:firstLine="420"/>
        <w:rPr>
          <w:rFonts w:ascii="宋体" w:eastAsia="宋体" w:hAnsi="宋体"/>
        </w:rPr>
      </w:pPr>
      <w:r>
        <w:rPr>
          <w:rFonts w:ascii="宋体" w:eastAsia="宋体" w:hAnsi="宋体" w:hint="eastAsia"/>
        </w:rPr>
        <w:t>5.</w:t>
      </w:r>
      <w:r w:rsidRPr="00C12116">
        <w:rPr>
          <w:rFonts w:ascii="宋体" w:eastAsia="宋体" w:hAnsi="宋体"/>
        </w:rPr>
        <w:t>复赛的要求是参赛者撰写一份专利检索分析报告。复赛题目将会在8月12日同步发给进入复赛的选手。各复赛选手需要在8月30日24时前提交报告，逾期未提交者视为放弃本次复赛。</w:t>
      </w:r>
    </w:p>
    <w:p w14:paraId="0F19508B" w14:textId="77777777" w:rsidR="00510B69" w:rsidRPr="00C12116" w:rsidRDefault="00510B69" w:rsidP="00510B69">
      <w:pPr>
        <w:spacing w:line="360" w:lineRule="auto"/>
        <w:ind w:firstLineChars="200" w:firstLine="420"/>
        <w:rPr>
          <w:rFonts w:ascii="宋体" w:eastAsia="宋体" w:hAnsi="宋体"/>
        </w:rPr>
      </w:pPr>
      <w:r>
        <w:rPr>
          <w:rFonts w:ascii="宋体" w:eastAsia="宋体" w:hAnsi="宋体" w:hint="eastAsia"/>
        </w:rPr>
        <w:t>6.</w:t>
      </w:r>
      <w:r w:rsidRPr="00C12116">
        <w:rPr>
          <w:rFonts w:ascii="宋体" w:eastAsia="宋体" w:hAnsi="宋体"/>
        </w:rPr>
        <w:t>入围决赛三等奖以上的选手需要进行PPT答辩，答辩分为线上和线下两种方式，线下决赛地点为哈尔滨医科大学。入围决赛三等奖以上的参赛者名单、优秀奖名单、决赛名单均由黑龙江省知识产权保护中心专家评选得出。</w:t>
      </w:r>
    </w:p>
    <w:p w14:paraId="5933A349" w14:textId="77777777" w:rsidR="00510B69" w:rsidRPr="00C12116" w:rsidRDefault="00510B69" w:rsidP="00510B69">
      <w:pPr>
        <w:spacing w:line="360" w:lineRule="auto"/>
        <w:ind w:firstLineChars="200" w:firstLine="420"/>
        <w:rPr>
          <w:rFonts w:ascii="宋体" w:eastAsia="宋体" w:hAnsi="宋体"/>
        </w:rPr>
      </w:pPr>
      <w:r>
        <w:rPr>
          <w:rFonts w:ascii="宋体" w:eastAsia="宋体" w:hAnsi="宋体" w:hint="eastAsia"/>
        </w:rPr>
        <w:t>7.</w:t>
      </w:r>
      <w:r w:rsidRPr="00C12116">
        <w:rPr>
          <w:rFonts w:ascii="宋体" w:eastAsia="宋体" w:hAnsi="宋体"/>
        </w:rPr>
        <w:t>奖项评定标准</w:t>
      </w:r>
    </w:p>
    <w:p w14:paraId="2D0C099A" w14:textId="77777777" w:rsidR="00510B69" w:rsidRDefault="00510B69" w:rsidP="00510B69">
      <w:pPr>
        <w:numPr>
          <w:ilvl w:val="0"/>
          <w:numId w:val="1"/>
        </w:numPr>
        <w:spacing w:line="360" w:lineRule="auto"/>
        <w:ind w:leftChars="200" w:left="420"/>
        <w:rPr>
          <w:rFonts w:ascii="Times New Roman" w:eastAsia="宋体" w:hAnsi="Times New Roman" w:cs="Times New Roman"/>
        </w:rPr>
      </w:pPr>
      <w:r>
        <w:rPr>
          <w:rFonts w:ascii="Times New Roman" w:eastAsia="宋体" w:hAnsi="Times New Roman" w:cs="Times New Roman"/>
        </w:rPr>
        <w:t>优秀组织奖：各高校报名学生人数超过</w:t>
      </w:r>
      <w:r>
        <w:rPr>
          <w:rFonts w:ascii="Times New Roman" w:eastAsia="宋体" w:hAnsi="Times New Roman" w:cs="Times New Roman"/>
        </w:rPr>
        <w:t>100</w:t>
      </w:r>
      <w:r>
        <w:rPr>
          <w:rFonts w:ascii="Times New Roman" w:eastAsia="宋体" w:hAnsi="Times New Roman" w:cs="Times New Roman"/>
        </w:rPr>
        <w:t>名可获得该奖项；</w:t>
      </w:r>
    </w:p>
    <w:p w14:paraId="41D929DE" w14:textId="77777777" w:rsidR="00510B69" w:rsidRDefault="00510B69" w:rsidP="00510B69">
      <w:pPr>
        <w:numPr>
          <w:ilvl w:val="0"/>
          <w:numId w:val="1"/>
        </w:numPr>
        <w:spacing w:line="360" w:lineRule="auto"/>
        <w:ind w:leftChars="200" w:left="420"/>
        <w:rPr>
          <w:rFonts w:ascii="Times New Roman" w:eastAsia="宋体" w:hAnsi="Times New Roman" w:cs="Times New Roman"/>
        </w:rPr>
      </w:pPr>
      <w:r>
        <w:rPr>
          <w:rFonts w:ascii="Times New Roman" w:eastAsia="宋体" w:hAnsi="Times New Roman" w:cs="Times New Roman"/>
        </w:rPr>
        <w:t>优秀指导教师奖：入围决赛三等奖以上参与答辩的学生指导教师获得；</w:t>
      </w:r>
    </w:p>
    <w:p w14:paraId="43280A15" w14:textId="77777777" w:rsidR="00510B69" w:rsidRDefault="00510B69" w:rsidP="00510B69">
      <w:pPr>
        <w:spacing w:line="360" w:lineRule="auto"/>
        <w:ind w:firstLineChars="200" w:firstLine="420"/>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Pr>
          <w:rFonts w:ascii="Times New Roman" w:eastAsia="宋体" w:hAnsi="Times New Roman" w:cs="Times New Roman"/>
        </w:rPr>
        <w:t>优秀个人参与奖：</w:t>
      </w:r>
      <w:r>
        <w:rPr>
          <w:rFonts w:ascii="宋体" w:eastAsia="宋体" w:hAnsi="宋体" w:cs="宋体" w:hint="eastAsia"/>
          <w:szCs w:val="21"/>
          <w:lang w:bidi="ar"/>
        </w:rPr>
        <w:t>进入复赛并提交检索分析报告的同学均可获得由智慧</w:t>
      </w:r>
      <w:proofErr w:type="gramStart"/>
      <w:r>
        <w:rPr>
          <w:rFonts w:ascii="宋体" w:eastAsia="宋体" w:hAnsi="宋体" w:cs="宋体" w:hint="eastAsia"/>
          <w:szCs w:val="21"/>
          <w:lang w:bidi="ar"/>
        </w:rPr>
        <w:t>芽</w:t>
      </w:r>
      <w:proofErr w:type="gramEnd"/>
      <w:r>
        <w:rPr>
          <w:rFonts w:ascii="宋体" w:eastAsia="宋体" w:hAnsi="宋体" w:cs="宋体" w:hint="eastAsia"/>
          <w:szCs w:val="21"/>
          <w:lang w:bidi="ar"/>
        </w:rPr>
        <w:t>提供的电子证书。</w:t>
      </w:r>
    </w:p>
    <w:p w14:paraId="193C3EC3" w14:textId="77777777" w:rsidR="00B17C87" w:rsidRPr="00510B69" w:rsidRDefault="00B17C87"/>
    <w:sectPr w:rsidR="00B17C87" w:rsidRPr="00510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27FBE4"/>
    <w:multiLevelType w:val="singleLevel"/>
    <w:tmpl w:val="FD27FBE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69"/>
    <w:rsid w:val="00510B69"/>
    <w:rsid w:val="00B1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2A55"/>
  <w15:chartTrackingRefBased/>
  <w15:docId w15:val="{C0486F3E-1259-4F06-84A9-12259EF9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B69"/>
    <w:pPr>
      <w:widowControl w:val="0"/>
      <w:jc w:val="both"/>
    </w:pPr>
    <w:rPr>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10B69"/>
    <w:pPr>
      <w:widowControl/>
      <w:spacing w:before="100" w:beforeAutospacing="1" w:after="100" w:afterAutospacing="1"/>
      <w:jc w:val="left"/>
    </w:pPr>
    <w:rPr>
      <w:rFonts w:ascii="宋体" w:eastAsia="宋体" w:hAnsi="宋体" w:cs="宋体"/>
      <w:kern w:val="0"/>
      <w:sz w:val="24"/>
      <w14:ligatures w14:val="none"/>
    </w:rPr>
  </w:style>
  <w:style w:type="character" w:styleId="a4">
    <w:name w:val="Strong"/>
    <w:basedOn w:val="a0"/>
    <w:uiPriority w:val="22"/>
    <w:qFormat/>
    <w:rsid w:val="00510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rain_yu_g@163.com</dc:creator>
  <cp:keywords/>
  <dc:description/>
  <cp:lastModifiedBy>rain_yu_g@163.com</cp:lastModifiedBy>
  <cp:revision>1</cp:revision>
  <dcterms:created xsi:type="dcterms:W3CDTF">2024-05-10T06:58:00Z</dcterms:created>
  <dcterms:modified xsi:type="dcterms:W3CDTF">2024-05-10T06:59:00Z</dcterms:modified>
</cp:coreProperties>
</file>