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图书馆数字资源VPN访问指南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为保障</w:t>
      </w:r>
      <w:bookmarkStart w:id="0" w:name="_GoBack"/>
      <w:bookmarkEnd w:id="0"/>
      <w:r>
        <w:rPr>
          <w:rFonts w:hint="eastAsia"/>
          <w:b/>
          <w:bCs/>
          <w:sz w:val="21"/>
          <w:szCs w:val="21"/>
          <w:lang w:val="en-US" w:eastAsia="zh-CN"/>
        </w:rPr>
        <w:t>我校师生在校外可以正常访问图书馆数字资源，广大师生可以通过VPN访问大部分数字资源（少数国外出版社数据库除外）。具体访问方式如下：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手机浏览器和电脑端访问的链接地址:ivpn.hit.edu.cn,进入统一认证平台，用户名为工学号,密码初始为身份证号后6位或与用户名相同。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300"/>
        <w:jc w:val="lef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手机浏览器登录后界面：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</w:t>
      </w:r>
      <w:r>
        <w:rPr>
          <w:sz w:val="21"/>
          <w:szCs w:val="21"/>
        </w:rPr>
        <w:drawing>
          <wp:inline distT="0" distB="0" distL="114300" distR="114300">
            <wp:extent cx="3578860" cy="1213485"/>
            <wp:effectExtent l="0" t="0" r="2540" b="57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300"/>
        <w:jc w:val="lef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电脑端访问登录后界面：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</w:p>
    <w:p>
      <w:r>
        <w:rPr>
          <w:rFonts w:hint="eastAsia"/>
          <w:sz w:val="21"/>
          <w:szCs w:val="21"/>
          <w:lang w:val="en-US" w:eastAsia="zh-CN"/>
        </w:rPr>
        <w:t xml:space="preserve">       </w:t>
      </w:r>
      <w:r>
        <w:drawing>
          <wp:inline distT="0" distB="0" distL="114300" distR="114300">
            <wp:extent cx="3482975" cy="1526540"/>
            <wp:effectExtent l="0" t="0" r="698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F83E99"/>
    <w:multiLevelType w:val="singleLevel"/>
    <w:tmpl w:val="B1F83E9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CD4F6F"/>
    <w:rsid w:val="0AEB484F"/>
    <w:rsid w:val="26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2020-04-09T07:18:19Z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