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IOP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（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建议使用火狐浏览器访问</w:t>
      </w:r>
      <w:r>
        <w:rPr>
          <w:rFonts w:hint="eastAsia" w:asciiTheme="minorEastAsia" w:hAnsiTheme="minorEastAsia"/>
          <w:b/>
          <w:bCs/>
          <w:szCs w:val="21"/>
          <w:lang w:val="en-US" w:eastAsia="zh-CN"/>
        </w:rPr>
        <w:t>）</w:t>
      </w: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使用非校园网IP访问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IOP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主页（</w:t>
      </w:r>
      <w:r>
        <w:fldChar w:fldCharType="begin"/>
      </w:r>
      <w:r>
        <w:instrText xml:space="preserve"> HYPERLINK "https://www.nature.com），在主页右上方点击" </w:instrText>
      </w:r>
      <w:r>
        <w:fldChar w:fldCharType="separate"/>
      </w:r>
      <w:r>
        <w:fldChar w:fldCharType="begin"/>
      </w:r>
      <w:r>
        <w:instrText xml:space="preserve"> HYPERLINK "https://iopscience.iop.org" </w:instrText>
      </w:r>
      <w:r>
        <w:fldChar w:fldCharType="separate"/>
      </w:r>
      <w:r>
        <w:rPr>
          <w:rStyle w:val="4"/>
          <w:rFonts w:ascii="Calibri" w:hAnsi="Calibri" w:cs="Calibri"/>
          <w:sz w:val="21"/>
          <w:szCs w:val="21"/>
        </w:rPr>
        <w:t>https://iopscience.iop.org</w:t>
      </w:r>
      <w:r>
        <w:rPr>
          <w:rStyle w:val="4"/>
          <w:rFonts w:ascii="Calibri" w:hAnsi="Calibri" w:cs="Calibri"/>
          <w:sz w:val="21"/>
          <w:szCs w:val="21"/>
        </w:rPr>
        <w:fldChar w:fldCharType="end"/>
      </w:r>
      <w:r>
        <w:rPr>
          <w:rStyle w:val="4"/>
          <w:rFonts w:hint="eastAsia" w:asciiTheme="minorEastAsia" w:hAnsiTheme="minor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），在主页点击</w:t>
      </w:r>
      <w:r>
        <w:rPr>
          <w:rStyle w:val="4"/>
          <w:rFonts w:hint="eastAsia" w:asciiTheme="minorEastAsia" w:hAnsiTheme="minor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“Login”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，再点击“</w:t>
      </w:r>
      <w:r>
        <w:drawing>
          <wp:inline distT="0" distB="0" distL="114300" distR="114300">
            <wp:extent cx="1531620" cy="243840"/>
            <wp:effectExtent l="0" t="0" r="762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5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438775" cy="1968500"/>
            <wp:effectExtent l="0" t="0" r="1905" b="1270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szCs w:val="21"/>
          <w:lang w:val="en-US" w:eastAsia="zh-CN"/>
        </w:rPr>
        <w:t>、</w:t>
      </w:r>
      <w:r>
        <w:rPr>
          <w:rFonts w:hint="eastAsia" w:asciiTheme="minorEastAsia" w:hAnsiTheme="minorEastAsia"/>
          <w:szCs w:val="21"/>
        </w:rPr>
        <w:t>在登录页面中，点击“</w:t>
      </w:r>
      <w:r>
        <w:drawing>
          <wp:inline distT="0" distB="0" distL="114300" distR="114300">
            <wp:extent cx="2095500" cy="190500"/>
            <wp:effectExtent l="0" t="0" r="7620" b="762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Cs w:val="21"/>
        </w:rPr>
        <w:t>”链接</w:t>
      </w:r>
      <w:r>
        <w:rPr>
          <w:rFonts w:hint="eastAsia" w:asciiTheme="minorEastAsia" w:hAnsiTheme="minorEastAsia"/>
          <w:szCs w:val="21"/>
          <w:lang w:eastAsia="zh-CN"/>
        </w:rPr>
        <w:t>。</w:t>
      </w:r>
    </w:p>
    <w:p>
      <w:pPr>
        <w:pStyle w:val="5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19700" cy="1844675"/>
            <wp:effectExtent l="0" t="0" r="7620" b="1460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3、在弹出的界面，点击“</w:t>
      </w: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77415" cy="230505"/>
            <wp:effectExtent l="0" t="0" r="1905" b="1333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5"/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4594860" cy="1176020"/>
            <wp:effectExtent l="0" t="0" r="7620" b="1270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200"/>
      </w:pPr>
    </w:p>
    <w:p>
      <w:pPr>
        <w:pStyle w:val="5"/>
        <w:numPr>
          <w:ilvl w:val="0"/>
          <w:numId w:val="0"/>
        </w:numPr>
        <w:ind w:leftChars="0"/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4、在弹出的统一认证界面中，输入用户名和密码，点击登录，待页面跳转回主页后即正常访问。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2D2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