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等线" w:hAnsi="等线" w:eastAsia="等线" w:cs="等线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2"/>
          <w:szCs w:val="22"/>
          <w:lang w:val="en-US" w:eastAsia="zh-CN" w:bidi="ar"/>
        </w:rPr>
        <w:t>ProQuest数据库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请在浏览器地址栏中输入ProQuest平台域名https://search.proquest.com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点击右侧“使用贵组织的本地登录信息”，查找学校的英文名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drawing>
          <wp:inline distT="0" distB="0" distL="114300" distR="114300">
            <wp:extent cx="5755640" cy="3648710"/>
            <wp:effectExtent l="0" t="0" r="5080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点击学校的名称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drawing>
          <wp:inline distT="0" distB="0" distL="114300" distR="114300">
            <wp:extent cx="5814695" cy="2715895"/>
            <wp:effectExtent l="0" t="0" r="6985" b="1206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69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页面会自动跳转到学校统一认证的登录页面，输入用户名和密码登录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DA6B2"/>
    <w:multiLevelType w:val="singleLevel"/>
    <w:tmpl w:val="825DA6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5D34B7"/>
    <w:rsid w:val="26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